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EA5A" w14:textId="50B333A6" w:rsidR="00871542" w:rsidRPr="003D49FF" w:rsidRDefault="00621937" w:rsidP="5C22E9A1">
      <w:pPr>
        <w:ind w:right="-837"/>
        <w:rPr>
          <w:rFonts w:ascii="Bahnschrift" w:hAnsi="Bahnschrift"/>
          <w:noProof/>
          <w:color w:val="808080" w:themeColor="background1" w:themeShade="80"/>
          <w:sz w:val="48"/>
          <w:szCs w:val="48"/>
        </w:rPr>
      </w:pPr>
      <w:r w:rsidRPr="00621937">
        <w:rPr>
          <w:rFonts w:ascii="Bahnschrift" w:hAnsi="Bahnschrift"/>
          <w:noProof/>
          <w:color w:val="808080" w:themeColor="background1" w:themeShade="8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D13DDA" wp14:editId="0AB27E57">
                <wp:simplePos x="0" y="0"/>
                <wp:positionH relativeFrom="margin">
                  <wp:posOffset>3562350</wp:posOffset>
                </wp:positionH>
                <wp:positionV relativeFrom="margin">
                  <wp:posOffset>-730250</wp:posOffset>
                </wp:positionV>
                <wp:extent cx="2781300" cy="990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0D11" w14:textId="66349F6B" w:rsidR="00621937" w:rsidRDefault="006219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D4B6CC" wp14:editId="24A69F5E">
                                  <wp:extent cx="2622550" cy="98265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3670" cy="990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13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-57.5pt;width:219pt;height:7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" stroked="f">
                <v:textbox>
                  <w:txbxContent>
                    <w:p w14:paraId="02DF0D11" w14:textId="66349F6B" w:rsidR="00621937" w:rsidRDefault="00621937">
                      <w:r>
                        <w:rPr>
                          <w:noProof/>
                        </w:rPr>
                        <w:drawing>
                          <wp:inline distT="0" distB="0" distL="0" distR="0" wp14:anchorId="0BD4B6CC" wp14:editId="24A69F5E">
                            <wp:extent cx="2622550" cy="98265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3670" cy="990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1542" w:rsidRPr="00871542">
        <w:rPr>
          <w:rFonts w:ascii="Bahnschrift" w:hAnsi="Bahnschrift"/>
          <w:noProof/>
          <w:color w:val="808080" w:themeColor="background1" w:themeShade="80"/>
          <w:sz w:val="44"/>
          <w:szCs w:val="44"/>
        </w:rPr>
        <w:t>A fair chance for all</w:t>
      </w:r>
      <w:r w:rsidR="00871542" w:rsidRPr="00871542">
        <w:rPr>
          <w:sz w:val="20"/>
          <w:szCs w:val="20"/>
        </w:rPr>
        <w:tab/>
      </w:r>
      <w:r w:rsidR="00871542" w:rsidRPr="00871542">
        <w:rPr>
          <w:sz w:val="20"/>
          <w:szCs w:val="20"/>
        </w:rPr>
        <w:br/>
      </w:r>
      <w:r w:rsidR="00871542" w:rsidRPr="00871542">
        <w:rPr>
          <w:rFonts w:ascii="Bahnschrift" w:hAnsi="Bahnschrift"/>
          <w:b/>
          <w:bCs/>
          <w:noProof/>
          <w:sz w:val="28"/>
          <w:szCs w:val="28"/>
        </w:rPr>
        <w:t>Breaking the cycle of persistent disadvantage</w:t>
      </w:r>
    </w:p>
    <w:p w14:paraId="06689156" w14:textId="77777777" w:rsidR="003D49FF" w:rsidRDefault="003D49FF" w:rsidP="00564982">
      <w:pPr>
        <w:spacing w:after="0"/>
        <w:rPr>
          <w:b/>
          <w:bCs/>
        </w:rPr>
      </w:pPr>
    </w:p>
    <w:p w14:paraId="5A73BD8B" w14:textId="5EE8072F" w:rsidR="00510E1A" w:rsidRPr="003D49FF" w:rsidRDefault="00600D86" w:rsidP="5C22E9A1">
      <w:pPr>
        <w:rPr>
          <w:rFonts w:ascii="Bahnschrift" w:eastAsia="Bahnschrift" w:hAnsi="Bahnschrift" w:cs="Bahnschrift"/>
          <w:b/>
          <w:bCs/>
          <w:color w:val="7F7F7F" w:themeColor="text1" w:themeTint="80"/>
          <w:sz w:val="24"/>
          <w:szCs w:val="24"/>
        </w:rPr>
      </w:pPr>
      <w:r w:rsidRPr="5C22E9A1">
        <w:rPr>
          <w:rFonts w:ascii="Bahnschrift" w:eastAsia="Bahnschrift" w:hAnsi="Bahnschrift" w:cs="Bahnschrift"/>
          <w:b/>
          <w:bCs/>
          <w:color w:val="7F7F7F" w:themeColor="text1" w:themeTint="80"/>
          <w:sz w:val="24"/>
          <w:szCs w:val="24"/>
        </w:rPr>
        <w:t>Summary of Interim Report | October 2022</w:t>
      </w:r>
    </w:p>
    <w:p w14:paraId="71B662B8" w14:textId="1D8D989E" w:rsidR="00B36916" w:rsidRDefault="00510E1A">
      <w:r>
        <w:t xml:space="preserve">The Productivity Commission has released its </w:t>
      </w:r>
      <w:hyperlink r:id="rId12">
        <w:r w:rsidR="00424F9F" w:rsidRPr="5C22E9A1">
          <w:rPr>
            <w:rStyle w:val="Hyperlink"/>
          </w:rPr>
          <w:t>I</w:t>
        </w:r>
        <w:r w:rsidRPr="5C22E9A1">
          <w:rPr>
            <w:rStyle w:val="Hyperlink"/>
          </w:rPr>
          <w:t xml:space="preserve">nterim </w:t>
        </w:r>
        <w:r w:rsidR="00424F9F" w:rsidRPr="5C22E9A1">
          <w:rPr>
            <w:rStyle w:val="Hyperlink"/>
          </w:rPr>
          <w:t>R</w:t>
        </w:r>
        <w:r w:rsidRPr="5C22E9A1">
          <w:rPr>
            <w:rStyle w:val="Hyperlink"/>
          </w:rPr>
          <w:t>eport</w:t>
        </w:r>
      </w:hyperlink>
      <w:r>
        <w:t xml:space="preserve"> on the findings of its </w:t>
      </w:r>
      <w:r w:rsidRPr="5C22E9A1">
        <w:rPr>
          <w:i/>
          <w:iCs/>
        </w:rPr>
        <w:t>A fair chance for all: Breaking the cycle of persistent disadvantage</w:t>
      </w:r>
      <w:r>
        <w:t xml:space="preserve"> research, which NZCCSS submitted on in August 2021. </w:t>
      </w:r>
      <w:r w:rsidR="00B36916">
        <w:t xml:space="preserve">Our submission </w:t>
      </w:r>
      <w:r w:rsidR="00766EBB">
        <w:t>recommended exploration of system</w:t>
      </w:r>
      <w:r w:rsidR="00CA608D">
        <w:t>ic</w:t>
      </w:r>
      <w:r w:rsidR="00766EBB">
        <w:t xml:space="preserve"> </w:t>
      </w:r>
      <w:r w:rsidR="00D35B3B">
        <w:t>and economic change</w:t>
      </w:r>
      <w:r w:rsidR="00766EBB">
        <w:t xml:space="preserve">, </w:t>
      </w:r>
      <w:r w:rsidR="00B36916">
        <w:t xml:space="preserve">enactment of </w:t>
      </w:r>
      <w:proofErr w:type="spellStart"/>
      <w:r w:rsidR="7AE53B2F">
        <w:t>T</w:t>
      </w:r>
      <w:r w:rsidR="00B36916">
        <w:t>e</w:t>
      </w:r>
      <w:proofErr w:type="spellEnd"/>
      <w:r w:rsidR="00B36916">
        <w:t xml:space="preserve"> </w:t>
      </w:r>
      <w:proofErr w:type="spellStart"/>
      <w:r w:rsidR="00B36916">
        <w:t>Tiriti</w:t>
      </w:r>
      <w:proofErr w:type="spellEnd"/>
      <w:r w:rsidR="00B36916">
        <w:t xml:space="preserve"> o Waitangi, </w:t>
      </w:r>
      <w:r w:rsidR="00CA608D">
        <w:t xml:space="preserve">and exploration of a sustainable, effective and valued </w:t>
      </w:r>
      <w:proofErr w:type="gramStart"/>
      <w:r w:rsidR="00CA608D">
        <w:t>peoples</w:t>
      </w:r>
      <w:proofErr w:type="gramEnd"/>
      <w:r w:rsidR="00CA608D">
        <w:t xml:space="preserve"> workforce.</w:t>
      </w:r>
      <w:r w:rsidR="00D81F12">
        <w:t xml:space="preserve"> You can read our submission </w:t>
      </w:r>
      <w:hyperlink r:id="rId13">
        <w:r w:rsidR="00D81F12" w:rsidRPr="5C22E9A1">
          <w:rPr>
            <w:rStyle w:val="Hyperlink"/>
          </w:rPr>
          <w:t>here</w:t>
        </w:r>
      </w:hyperlink>
      <w:r w:rsidR="00D81F12">
        <w:t>.</w:t>
      </w:r>
    </w:p>
    <w:p w14:paraId="2AA59B8C" w14:textId="09B47A22" w:rsidR="00510E1A" w:rsidRDefault="00510E1A" w:rsidP="00564982">
      <w:pPr>
        <w:spacing w:after="60"/>
      </w:pPr>
      <w:r>
        <w:t>The Interim Report indicates that about 17% (724 000) of New Zealanders experienced persistent disadvantage in both 2013 and 2018.</w:t>
      </w:r>
      <w:r w:rsidR="00A530AC">
        <w:rPr>
          <w:rStyle w:val="FootnoteReference"/>
        </w:rPr>
        <w:footnoteReference w:id="1"/>
      </w:r>
      <w:r>
        <w:t xml:space="preserve"> </w:t>
      </w:r>
      <w:r w:rsidR="00121960">
        <w:rPr>
          <w:rStyle w:val="FootnoteReference"/>
        </w:rPr>
        <w:footnoteReference w:id="2"/>
      </w:r>
      <w:r>
        <w:t xml:space="preserve"> </w:t>
      </w:r>
      <w:r w:rsidR="003577C7">
        <w:t>The Commission defines</w:t>
      </w:r>
      <w:r>
        <w:t xml:space="preserve"> disadvantage using three domains </w:t>
      </w:r>
      <w:r w:rsidR="365DF1BC">
        <w:t xml:space="preserve">that </w:t>
      </w:r>
      <w:r>
        <w:t xml:space="preserve">align with the absence of mauri </w:t>
      </w:r>
      <w:proofErr w:type="spellStart"/>
      <w:r>
        <w:t>ora</w:t>
      </w:r>
      <w:proofErr w:type="spellEnd"/>
      <w:r>
        <w:t>:</w:t>
      </w:r>
    </w:p>
    <w:p w14:paraId="120CA0C6" w14:textId="77777777" w:rsidR="00510E1A" w:rsidRDefault="00510E1A" w:rsidP="5C22E9A1">
      <w:pPr>
        <w:spacing w:after="60"/>
        <w:ind w:left="720"/>
      </w:pPr>
      <w:r>
        <w:t>• left out (exclusion or lacking identity, belonging and connection</w:t>
      </w:r>
      <w:proofErr w:type="gramStart"/>
      <w:r>
        <w:t>);</w:t>
      </w:r>
      <w:proofErr w:type="gramEnd"/>
      <w:r>
        <w:t xml:space="preserve"> </w:t>
      </w:r>
    </w:p>
    <w:p w14:paraId="23A9F32D" w14:textId="77777777" w:rsidR="00510E1A" w:rsidRDefault="00510E1A" w:rsidP="5C22E9A1">
      <w:pPr>
        <w:spacing w:after="60"/>
        <w:ind w:left="720"/>
      </w:pPr>
      <w:r>
        <w:t xml:space="preserve">• doing without (deprivation/material hardship or lacking aspiration and capability); and </w:t>
      </w:r>
    </w:p>
    <w:p w14:paraId="1B60A0F7" w14:textId="2223DA3B" w:rsidR="00510E1A" w:rsidRDefault="00510E1A" w:rsidP="5C22E9A1">
      <w:pPr>
        <w:spacing w:after="60"/>
        <w:ind w:left="720"/>
      </w:pPr>
      <w:r>
        <w:t>• income poor (income poverty or lacking the foundations to grow prosperity).</w:t>
      </w:r>
      <w:r w:rsidR="00A44763">
        <w:rPr>
          <w:rStyle w:val="FootnoteReference"/>
        </w:rPr>
        <w:footnoteReference w:id="3"/>
      </w:r>
    </w:p>
    <w:p w14:paraId="1D995D22" w14:textId="4D98BBB8" w:rsidR="00510E1A" w:rsidRPr="001E0009" w:rsidRDefault="00121960" w:rsidP="5C22E9A1">
      <w:pPr>
        <w:ind w:left="1440"/>
        <w:rPr>
          <w:i/>
          <w:iCs/>
        </w:rPr>
      </w:pPr>
      <w:r w:rsidRPr="5C22E9A1">
        <w:rPr>
          <w:i/>
          <w:iCs/>
        </w:rPr>
        <w:t>“</w:t>
      </w:r>
      <w:r w:rsidR="00180801" w:rsidRPr="5C22E9A1">
        <w:rPr>
          <w:i/>
          <w:iCs/>
        </w:rPr>
        <w:t>Sole parents, people from families with no high school qualifications, Māori, Pacific peoples and disabled people were generally between one-and-a-half and three times more likely to experience persistent disadvantage in one or both of the two domains than the average New Zealand population under 65 years.</w:t>
      </w:r>
      <w:r w:rsidRPr="5C22E9A1">
        <w:rPr>
          <w:i/>
          <w:iCs/>
        </w:rPr>
        <w:t>”</w:t>
      </w:r>
      <w:r w:rsidR="00281648" w:rsidRPr="5C22E9A1">
        <w:rPr>
          <w:rStyle w:val="FootnoteReference"/>
          <w:i/>
          <w:iCs/>
        </w:rPr>
        <w:footnoteReference w:id="4"/>
      </w:r>
      <w:r w:rsidR="00180801" w:rsidRPr="5C22E9A1">
        <w:rPr>
          <w:i/>
          <w:iCs/>
        </w:rPr>
        <w:t xml:space="preserve"> </w:t>
      </w:r>
    </w:p>
    <w:p w14:paraId="52234D13" w14:textId="7008518B" w:rsidR="00510E1A" w:rsidRDefault="00730E42" w:rsidP="00564982">
      <w:pPr>
        <w:spacing w:after="0"/>
      </w:pPr>
      <w:r>
        <w:t>The Commission h</w:t>
      </w:r>
      <w:r w:rsidR="124280E1">
        <w:t xml:space="preserve">as </w:t>
      </w:r>
      <w:r>
        <w:t xml:space="preserve">established a broad vision for social inclusion drawing from </w:t>
      </w:r>
      <w:proofErr w:type="spellStart"/>
      <w:r w:rsidR="00B86BA0">
        <w:t>He</w:t>
      </w:r>
      <w:proofErr w:type="spellEnd"/>
      <w:r w:rsidR="00B86BA0">
        <w:t xml:space="preserve"> Ara </w:t>
      </w:r>
      <w:proofErr w:type="spellStart"/>
      <w:r w:rsidR="00B86BA0">
        <w:t>Waiora</w:t>
      </w:r>
      <w:proofErr w:type="spellEnd"/>
      <w:r w:rsidR="00B86BA0">
        <w:t xml:space="preserve"> – a tikanga framework</w:t>
      </w:r>
      <w:r>
        <w:t>:</w:t>
      </w:r>
    </w:p>
    <w:p w14:paraId="7093E9CC" w14:textId="4E8DEC8B" w:rsidR="00281648" w:rsidRDefault="00644B05" w:rsidP="00510E1A">
      <w:r w:rsidRPr="00644B05">
        <w:rPr>
          <w:noProof/>
        </w:rPr>
        <w:drawing>
          <wp:anchor distT="0" distB="0" distL="114300" distR="114300" simplePos="0" relativeHeight="251658240" behindDoc="0" locked="0" layoutInCell="1" allowOverlap="1" wp14:anchorId="51415D05" wp14:editId="7C47E65D">
            <wp:simplePos x="0" y="0"/>
            <wp:positionH relativeFrom="margin">
              <wp:posOffset>31750</wp:posOffset>
            </wp:positionH>
            <wp:positionV relativeFrom="paragraph">
              <wp:posOffset>63500</wp:posOffset>
            </wp:positionV>
            <wp:extent cx="3387600" cy="2127600"/>
            <wp:effectExtent l="0" t="0" r="3810" b="6350"/>
            <wp:wrapSquare wrapText="bothSides"/>
            <wp:docPr id="1" name="Picture 1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unburst chart&#10;&#10;Description automatically generated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7" t="3238" r="5239" b="3875"/>
                    <a:stretch/>
                  </pic:blipFill>
                  <pic:spPr bwMode="auto">
                    <a:xfrm>
                      <a:off x="0" y="0"/>
                      <a:ext cx="3387600" cy="212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811">
        <w:t xml:space="preserve">The Commission has sought to understand the system barriers within the public management system that contribute to people experiencing persistent disadvantage. </w:t>
      </w:r>
    </w:p>
    <w:p w14:paraId="450F7A7D" w14:textId="2775E30B" w:rsidR="00A9656A" w:rsidRDefault="00282811" w:rsidP="00510E1A">
      <w:r>
        <w:t>Four drivers of disadvantage within the system have been identified:</w:t>
      </w:r>
      <w:r w:rsidR="00A9656A">
        <w:t xml:space="preserve"> power imbalances, </w:t>
      </w:r>
      <w:r w:rsidR="00DA23E9">
        <w:t>d</w:t>
      </w:r>
      <w:r w:rsidR="007B0723" w:rsidRPr="007B0723">
        <w:t>iscrimination</w:t>
      </w:r>
      <w:r w:rsidR="00DA23E9">
        <w:t>,</w:t>
      </w:r>
      <w:r w:rsidR="007B0723" w:rsidRPr="007B0723">
        <w:t xml:space="preserve"> and the ongoing impact of colonisation</w:t>
      </w:r>
      <w:r w:rsidR="007B0723">
        <w:t xml:space="preserve">, siloed and fragmented government, </w:t>
      </w:r>
      <w:proofErr w:type="gramStart"/>
      <w:r w:rsidR="007B0723">
        <w:t>short-termism</w:t>
      </w:r>
      <w:proofErr w:type="gramEnd"/>
      <w:r w:rsidR="007B0723">
        <w:t xml:space="preserve"> and status-quo bias.</w:t>
      </w:r>
    </w:p>
    <w:p w14:paraId="5B0B5FEC" w14:textId="35B862FE" w:rsidR="00281648" w:rsidRDefault="00564982" w:rsidP="00564982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71E8D" wp14:editId="08CE6392">
                <wp:simplePos x="0" y="0"/>
                <wp:positionH relativeFrom="column">
                  <wp:posOffset>33020</wp:posOffset>
                </wp:positionH>
                <wp:positionV relativeFrom="paragraph">
                  <wp:posOffset>22225</wp:posOffset>
                </wp:positionV>
                <wp:extent cx="3387090" cy="120650"/>
                <wp:effectExtent l="0" t="0" r="3810" b="0"/>
                <wp:wrapThrough wrapText="bothSides">
                  <wp:wrapPolygon edited="0">
                    <wp:start x="0" y="0"/>
                    <wp:lineTo x="0" y="17053"/>
                    <wp:lineTo x="21503" y="17053"/>
                    <wp:lineTo x="21503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1206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D6CB15" w14:textId="69A409D9" w:rsidR="00A530AC" w:rsidRPr="00281648" w:rsidRDefault="00A530AC" w:rsidP="00A530AC">
                            <w:pPr>
                              <w:pStyle w:val="Caption"/>
                              <w:rPr>
                                <w:noProof/>
                                <w:sz w:val="12"/>
                                <w:szCs w:val="12"/>
                              </w:rPr>
                            </w:pPr>
                            <w:r w:rsidRPr="00281648">
                              <w:rPr>
                                <w:noProof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281648">
                              <w:rPr>
                                <w:noProof/>
                                <w:sz w:val="12"/>
                                <w:szCs w:val="12"/>
                              </w:rPr>
                              <w:instrText xml:space="preserve"> SEQ Figure \* ARABIC </w:instrText>
                            </w:r>
                            <w:r w:rsidRPr="00281648">
                              <w:rPr>
                                <w:noProof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A82118">
                              <w:rPr>
                                <w:noProof/>
                                <w:sz w:val="12"/>
                                <w:szCs w:val="12"/>
                              </w:rPr>
                              <w:t>1</w:t>
                            </w:r>
                            <w:r w:rsidRPr="00281648">
                              <w:rPr>
                                <w:noProof/>
                                <w:sz w:val="12"/>
                                <w:szCs w:val="12"/>
                              </w:rPr>
                              <w:fldChar w:fldCharType="end"/>
                            </w:r>
                            <w:r w:rsidRPr="00281648">
                              <w:rPr>
                                <w:sz w:val="12"/>
                                <w:szCs w:val="12"/>
                              </w:rPr>
                              <w:t xml:space="preserve"> He Ara </w:t>
                            </w:r>
                            <w:proofErr w:type="spellStart"/>
                            <w:r w:rsidRPr="00281648">
                              <w:rPr>
                                <w:sz w:val="12"/>
                                <w:szCs w:val="12"/>
                              </w:rPr>
                              <w:t>Waiora</w:t>
                            </w:r>
                            <w:proofErr w:type="spellEnd"/>
                            <w:r w:rsidRPr="00281648">
                              <w:rPr>
                                <w:sz w:val="12"/>
                                <w:szCs w:val="12"/>
                              </w:rPr>
                              <w:t xml:space="preserve"> from Interim Report</w:t>
                            </w:r>
                            <w:r w:rsidR="00564982">
                              <w:rPr>
                                <w:sz w:val="12"/>
                                <w:szCs w:val="12"/>
                              </w:rPr>
                              <w:t xml:space="preserve"> Overview</w:t>
                            </w:r>
                            <w:r w:rsidRPr="00281648">
                              <w:rPr>
                                <w:sz w:val="12"/>
                                <w:szCs w:val="12"/>
                              </w:rPr>
                              <w:t>, pg.2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71E8D" id="_x0000_s1027" type="#_x0000_t202" style="position:absolute;margin-left:2.6pt;margin-top:1.75pt;width:266.7pt;height: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" stroked="f">
                <v:textbox inset="0,0,0,0">
                  <w:txbxContent>
                    <w:p w14:paraId="21D6CB15" w14:textId="69A409D9" w:rsidR="00A530AC" w:rsidRPr="00281648" w:rsidRDefault="00A530AC" w:rsidP="00A530AC">
                      <w:pPr>
                        <w:pStyle w:val="Caption"/>
                        <w:rPr>
                          <w:noProof/>
                          <w:sz w:val="12"/>
                          <w:szCs w:val="12"/>
                        </w:rPr>
                      </w:pPr>
                      <w:r w:rsidRPr="00281648">
                        <w:rPr>
                          <w:noProof/>
                          <w:sz w:val="12"/>
                          <w:szCs w:val="12"/>
                        </w:rPr>
                        <w:fldChar w:fldCharType="begin"/>
                      </w:r>
                      <w:r w:rsidRPr="00281648">
                        <w:rPr>
                          <w:noProof/>
                          <w:sz w:val="12"/>
                          <w:szCs w:val="12"/>
                        </w:rPr>
                        <w:instrText xml:space="preserve"> SEQ Figure \* ARABIC </w:instrText>
                      </w:r>
                      <w:r w:rsidRPr="00281648">
                        <w:rPr>
                          <w:noProof/>
                          <w:sz w:val="12"/>
                          <w:szCs w:val="12"/>
                        </w:rPr>
                        <w:fldChar w:fldCharType="separate"/>
                      </w:r>
                      <w:r w:rsidR="00A82118">
                        <w:rPr>
                          <w:noProof/>
                          <w:sz w:val="12"/>
                          <w:szCs w:val="12"/>
                        </w:rPr>
                        <w:t>1</w:t>
                      </w:r>
                      <w:r w:rsidRPr="00281648">
                        <w:rPr>
                          <w:noProof/>
                          <w:sz w:val="12"/>
                          <w:szCs w:val="12"/>
                        </w:rPr>
                        <w:fldChar w:fldCharType="end"/>
                      </w:r>
                      <w:r w:rsidRPr="00281648">
                        <w:rPr>
                          <w:sz w:val="12"/>
                          <w:szCs w:val="12"/>
                        </w:rPr>
                        <w:t xml:space="preserve"> He Ara </w:t>
                      </w:r>
                      <w:proofErr w:type="spellStart"/>
                      <w:r w:rsidRPr="00281648">
                        <w:rPr>
                          <w:sz w:val="12"/>
                          <w:szCs w:val="12"/>
                        </w:rPr>
                        <w:t>Waiora</w:t>
                      </w:r>
                      <w:proofErr w:type="spellEnd"/>
                      <w:r w:rsidRPr="00281648">
                        <w:rPr>
                          <w:sz w:val="12"/>
                          <w:szCs w:val="12"/>
                        </w:rPr>
                        <w:t xml:space="preserve"> from Interim Report</w:t>
                      </w:r>
                      <w:r w:rsidR="00564982">
                        <w:rPr>
                          <w:sz w:val="12"/>
                          <w:szCs w:val="12"/>
                        </w:rPr>
                        <w:t xml:space="preserve"> Overview</w:t>
                      </w:r>
                      <w:r w:rsidRPr="00281648">
                        <w:rPr>
                          <w:sz w:val="12"/>
                          <w:szCs w:val="12"/>
                        </w:rPr>
                        <w:t>, pg.2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F6550C3" w14:textId="757D17EA" w:rsidR="00A9656A" w:rsidRDefault="00B16A82" w:rsidP="00564982">
      <w:pPr>
        <w:spacing w:after="60"/>
      </w:pPr>
      <w:r>
        <w:t>The following are the Commission’s interim recommendations for addressing barriers and achieving a fair chance for all:</w:t>
      </w:r>
    </w:p>
    <w:p w14:paraId="2D741C1C" w14:textId="6F7909CD" w:rsidR="00B16A82" w:rsidRDefault="00A45A82" w:rsidP="00A45A82">
      <w:pPr>
        <w:pStyle w:val="ListParagraph"/>
        <w:numPr>
          <w:ilvl w:val="0"/>
          <w:numId w:val="1"/>
        </w:numPr>
      </w:pPr>
      <w:r>
        <w:t xml:space="preserve">Re-think overall system settings to prioritise equity, </w:t>
      </w:r>
      <w:proofErr w:type="gramStart"/>
      <w:r>
        <w:t>wellbeing</w:t>
      </w:r>
      <w:proofErr w:type="gramEnd"/>
      <w:r>
        <w:t xml:space="preserve"> and social inclusion</w:t>
      </w:r>
    </w:p>
    <w:p w14:paraId="16BEAE12" w14:textId="2F391503" w:rsidR="00A45A82" w:rsidRDefault="00A45A82" w:rsidP="00A45A82">
      <w:pPr>
        <w:pStyle w:val="ListParagraph"/>
        <w:numPr>
          <w:ilvl w:val="0"/>
          <w:numId w:val="1"/>
        </w:numPr>
      </w:pPr>
      <w:r>
        <w:t>Re-focus public accountability settings to activate a wellbeing approach</w:t>
      </w:r>
    </w:p>
    <w:p w14:paraId="18F727F3" w14:textId="37009E8D" w:rsidR="00B038BE" w:rsidRDefault="00B038BE" w:rsidP="00A45A82">
      <w:pPr>
        <w:pStyle w:val="ListParagraph"/>
        <w:numPr>
          <w:ilvl w:val="0"/>
          <w:numId w:val="1"/>
        </w:numPr>
      </w:pPr>
      <w:r>
        <w:lastRenderedPageBreak/>
        <w:t>Broaden and embed a wellbeing approach across policymaking and funding frameworks</w:t>
      </w:r>
    </w:p>
    <w:p w14:paraId="2BFDCAE5" w14:textId="12A51460" w:rsidR="00D81F12" w:rsidRPr="003D49FF" w:rsidRDefault="0009412F" w:rsidP="00510E1A">
      <w:pPr>
        <w:pStyle w:val="ListParagraph"/>
        <w:numPr>
          <w:ilvl w:val="0"/>
          <w:numId w:val="1"/>
        </w:numPr>
      </w:pPr>
      <w:r>
        <w:t>Enable system learning and improvement through monitoring and evaluation</w:t>
      </w:r>
    </w:p>
    <w:p w14:paraId="025E43F3" w14:textId="308651D3" w:rsidR="00510E1A" w:rsidRDefault="00035CEC" w:rsidP="00510E1A">
      <w:pPr>
        <w:rPr>
          <w:b/>
          <w:bCs/>
        </w:rPr>
      </w:pPr>
      <w:r>
        <w:rPr>
          <w:b/>
          <w:bCs/>
        </w:rPr>
        <w:t>Opportunities to engage further:</w:t>
      </w:r>
    </w:p>
    <w:p w14:paraId="582E846D" w14:textId="385DA5C6" w:rsidR="00352E1B" w:rsidRDefault="00035CEC" w:rsidP="00510E1A">
      <w:r>
        <w:t xml:space="preserve">1. </w:t>
      </w:r>
      <w:r w:rsidR="00352E1B">
        <w:t xml:space="preserve">Read the full report </w:t>
      </w:r>
      <w:r w:rsidR="00E62DC2">
        <w:t xml:space="preserve">and related research </w:t>
      </w:r>
      <w:hyperlink r:id="rId15" w:history="1">
        <w:r w:rsidR="00E62DC2" w:rsidRPr="00E62DC2">
          <w:rPr>
            <w:rStyle w:val="Hyperlink"/>
          </w:rPr>
          <w:t>here</w:t>
        </w:r>
      </w:hyperlink>
      <w:r w:rsidR="00E62DC2">
        <w:t>.</w:t>
      </w:r>
    </w:p>
    <w:p w14:paraId="375101CC" w14:textId="78DB1522" w:rsidR="00510E1A" w:rsidRDefault="00352E1B" w:rsidP="00510E1A">
      <w:r>
        <w:t xml:space="preserve">2. </w:t>
      </w:r>
      <w:r w:rsidR="0009412F">
        <w:t xml:space="preserve">You can watch the Commission’s </w:t>
      </w:r>
      <w:proofErr w:type="gramStart"/>
      <w:r w:rsidR="0009412F">
        <w:t>presentation</w:t>
      </w:r>
      <w:proofErr w:type="gramEnd"/>
      <w:r w:rsidR="0009412F">
        <w:t xml:space="preserve"> of Interim Findings </w:t>
      </w:r>
      <w:hyperlink r:id="rId16" w:history="1">
        <w:r w:rsidR="0009412F" w:rsidRPr="00A02B00">
          <w:rPr>
            <w:rStyle w:val="Hyperlink"/>
          </w:rPr>
          <w:t>here</w:t>
        </w:r>
      </w:hyperlink>
      <w:r w:rsidR="00A02B00">
        <w:t>.</w:t>
      </w:r>
    </w:p>
    <w:p w14:paraId="340C698B" w14:textId="2F15143F" w:rsidR="00760015" w:rsidRDefault="00352E1B" w:rsidP="00760015">
      <w:pPr>
        <w:rPr>
          <w:b/>
          <w:bCs/>
        </w:rPr>
      </w:pPr>
      <w:r>
        <w:t>3</w:t>
      </w:r>
      <w:r w:rsidR="00035CEC">
        <w:t xml:space="preserve">. </w:t>
      </w:r>
      <w:r w:rsidR="00760015">
        <w:t>Attend a Panel Webinar on 26</w:t>
      </w:r>
      <w:r w:rsidR="00760015" w:rsidRPr="00760015">
        <w:t>th</w:t>
      </w:r>
      <w:r w:rsidR="00760015">
        <w:t xml:space="preserve"> October:  </w:t>
      </w:r>
      <w:hyperlink r:id="rId17" w:history="1">
        <w:r w:rsidR="00760015" w:rsidRPr="00760015">
          <w:rPr>
            <w:rStyle w:val="Hyperlink"/>
            <w:b/>
            <w:bCs/>
          </w:rPr>
          <w:t>Perspectives on fair chance for all interim report</w:t>
        </w:r>
      </w:hyperlink>
    </w:p>
    <w:p w14:paraId="6ED0FC78" w14:textId="77777777" w:rsidR="00035CEC" w:rsidRPr="00035CEC" w:rsidRDefault="00035CEC" w:rsidP="00035CEC">
      <w:pPr>
        <w:shd w:val="clear" w:color="auto" w:fill="FFFFFF"/>
        <w:spacing w:after="0" w:line="240" w:lineRule="auto"/>
        <w:ind w:left="660"/>
        <w:rPr>
          <w:rFonts w:ascii="Arial" w:eastAsia="Times New Roman" w:hAnsi="Arial" w:cs="Arial"/>
          <w:color w:val="2B2D2C"/>
          <w:sz w:val="14"/>
          <w:szCs w:val="14"/>
          <w:lang w:eastAsia="en-NZ"/>
        </w:rPr>
      </w:pPr>
      <w:r w:rsidRPr="00035CEC">
        <w:rPr>
          <w:rFonts w:ascii="Arial" w:eastAsia="Times New Roman" w:hAnsi="Arial" w:cs="Arial"/>
          <w:b/>
          <w:bCs/>
          <w:color w:val="2B2D2C"/>
          <w:sz w:val="14"/>
          <w:szCs w:val="14"/>
          <w:lang w:eastAsia="en-NZ"/>
        </w:rPr>
        <w:t>Speakers on 26 October</w:t>
      </w:r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> </w:t>
      </w:r>
    </w:p>
    <w:p w14:paraId="62726C5F" w14:textId="77777777" w:rsidR="00035CEC" w:rsidRPr="00035CEC" w:rsidRDefault="00035CEC" w:rsidP="00035CEC">
      <w:pPr>
        <w:numPr>
          <w:ilvl w:val="0"/>
          <w:numId w:val="3"/>
        </w:numPr>
        <w:shd w:val="clear" w:color="auto" w:fill="FFFFFF"/>
        <w:tabs>
          <w:tab w:val="clear" w:pos="720"/>
          <w:tab w:val="num" w:pos="1380"/>
        </w:tabs>
        <w:spacing w:after="0" w:line="240" w:lineRule="auto"/>
        <w:ind w:left="1680"/>
        <w:rPr>
          <w:rFonts w:ascii="Arial" w:eastAsia="Times New Roman" w:hAnsi="Arial" w:cs="Arial"/>
          <w:color w:val="2B2D2C"/>
          <w:sz w:val="14"/>
          <w:szCs w:val="14"/>
          <w:lang w:eastAsia="en-NZ"/>
        </w:rPr>
      </w:pPr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 xml:space="preserve">Dr Penny Hagen, Director </w:t>
      </w:r>
      <w:proofErr w:type="spellStart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>Tangata</w:t>
      </w:r>
      <w:proofErr w:type="spellEnd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 xml:space="preserve"> </w:t>
      </w:r>
      <w:proofErr w:type="spellStart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>Tiriti</w:t>
      </w:r>
      <w:proofErr w:type="spellEnd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>, Auckland Co-Design Lab</w:t>
      </w:r>
    </w:p>
    <w:p w14:paraId="5AB45E30" w14:textId="77777777" w:rsidR="00035CEC" w:rsidRPr="00035CEC" w:rsidRDefault="00035CEC" w:rsidP="00035CEC">
      <w:pPr>
        <w:numPr>
          <w:ilvl w:val="0"/>
          <w:numId w:val="3"/>
        </w:numPr>
        <w:shd w:val="clear" w:color="auto" w:fill="FFFFFF"/>
        <w:tabs>
          <w:tab w:val="clear" w:pos="720"/>
          <w:tab w:val="num" w:pos="1380"/>
        </w:tabs>
        <w:spacing w:after="0" w:line="240" w:lineRule="auto"/>
        <w:ind w:left="1680"/>
        <w:rPr>
          <w:rFonts w:ascii="Arial" w:eastAsia="Times New Roman" w:hAnsi="Arial" w:cs="Arial"/>
          <w:color w:val="2B2D2C"/>
          <w:sz w:val="14"/>
          <w:szCs w:val="14"/>
          <w:lang w:eastAsia="en-NZ"/>
        </w:rPr>
      </w:pPr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 xml:space="preserve">Angie </w:t>
      </w:r>
      <w:proofErr w:type="spellStart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>Tangaere</w:t>
      </w:r>
      <w:proofErr w:type="spellEnd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 xml:space="preserve">, </w:t>
      </w:r>
      <w:proofErr w:type="spellStart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>Kaitohu</w:t>
      </w:r>
      <w:proofErr w:type="spellEnd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 xml:space="preserve"> </w:t>
      </w:r>
      <w:proofErr w:type="spellStart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>Tangata</w:t>
      </w:r>
      <w:proofErr w:type="spellEnd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 xml:space="preserve"> Whenua, Auckland Co-Design Lab</w:t>
      </w:r>
    </w:p>
    <w:p w14:paraId="548E43EF" w14:textId="77777777" w:rsidR="00035CEC" w:rsidRPr="00035CEC" w:rsidRDefault="00035CEC" w:rsidP="00035CEC">
      <w:pPr>
        <w:numPr>
          <w:ilvl w:val="0"/>
          <w:numId w:val="3"/>
        </w:numPr>
        <w:shd w:val="clear" w:color="auto" w:fill="FFFFFF"/>
        <w:tabs>
          <w:tab w:val="clear" w:pos="720"/>
          <w:tab w:val="num" w:pos="1380"/>
        </w:tabs>
        <w:spacing w:after="0" w:line="240" w:lineRule="auto"/>
        <w:ind w:left="1680"/>
        <w:rPr>
          <w:rFonts w:ascii="Arial" w:eastAsia="Times New Roman" w:hAnsi="Arial" w:cs="Arial"/>
          <w:color w:val="2B2D2C"/>
          <w:sz w:val="14"/>
          <w:szCs w:val="14"/>
          <w:lang w:eastAsia="en-NZ"/>
        </w:rPr>
      </w:pPr>
      <w:proofErr w:type="spellStart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>Tunumafono</w:t>
      </w:r>
      <w:proofErr w:type="spellEnd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 xml:space="preserve"> </w:t>
      </w:r>
      <w:proofErr w:type="spellStart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>Fa'amoetauloa</w:t>
      </w:r>
      <w:proofErr w:type="spellEnd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 xml:space="preserve"> </w:t>
      </w:r>
      <w:proofErr w:type="spellStart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>Avaula</w:t>
      </w:r>
      <w:proofErr w:type="spellEnd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 xml:space="preserve"> </w:t>
      </w:r>
      <w:proofErr w:type="spellStart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>Fa'amoe</w:t>
      </w:r>
      <w:proofErr w:type="spellEnd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 xml:space="preserve"> MNZM, Board Member Vaka </w:t>
      </w:r>
      <w:proofErr w:type="spellStart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>Tatua</w:t>
      </w:r>
      <w:proofErr w:type="spellEnd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 xml:space="preserve">, Founder </w:t>
      </w:r>
      <w:proofErr w:type="spellStart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>Tōfa</w:t>
      </w:r>
      <w:proofErr w:type="spellEnd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 xml:space="preserve"> </w:t>
      </w:r>
      <w:proofErr w:type="spellStart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>Mamao</w:t>
      </w:r>
      <w:proofErr w:type="spellEnd"/>
    </w:p>
    <w:p w14:paraId="70D10243" w14:textId="77777777" w:rsidR="00035CEC" w:rsidRPr="00035CEC" w:rsidRDefault="00035CEC" w:rsidP="00035CEC">
      <w:pPr>
        <w:numPr>
          <w:ilvl w:val="0"/>
          <w:numId w:val="3"/>
        </w:numPr>
        <w:shd w:val="clear" w:color="auto" w:fill="FFFFFF"/>
        <w:tabs>
          <w:tab w:val="clear" w:pos="720"/>
          <w:tab w:val="num" w:pos="1380"/>
        </w:tabs>
        <w:spacing w:after="0" w:line="240" w:lineRule="auto"/>
        <w:ind w:left="1680"/>
        <w:rPr>
          <w:rFonts w:ascii="Arial" w:eastAsia="Times New Roman" w:hAnsi="Arial" w:cs="Arial"/>
          <w:color w:val="2B2D2C"/>
          <w:sz w:val="14"/>
          <w:szCs w:val="14"/>
          <w:lang w:eastAsia="en-NZ"/>
        </w:rPr>
      </w:pPr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 xml:space="preserve">Eruera Tarena, </w:t>
      </w:r>
      <w:proofErr w:type="spellStart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>Tokona</w:t>
      </w:r>
      <w:proofErr w:type="spellEnd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 xml:space="preserve"> </w:t>
      </w:r>
      <w:proofErr w:type="spellStart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>Te</w:t>
      </w:r>
      <w:proofErr w:type="spellEnd"/>
      <w:r w:rsidRPr="00035CEC">
        <w:rPr>
          <w:rFonts w:ascii="Arial" w:eastAsia="Times New Roman" w:hAnsi="Arial" w:cs="Arial"/>
          <w:color w:val="2B2D2C"/>
          <w:sz w:val="14"/>
          <w:szCs w:val="14"/>
          <w:lang w:eastAsia="en-NZ"/>
        </w:rPr>
        <w:t xml:space="preserve"> Raki / Māori Futures Collective</w:t>
      </w:r>
    </w:p>
    <w:p w14:paraId="6173A306" w14:textId="77777777" w:rsidR="00035CEC" w:rsidRDefault="00035CEC" w:rsidP="00510E1A">
      <w:pPr>
        <w:rPr>
          <w:b/>
          <w:bCs/>
        </w:rPr>
      </w:pPr>
    </w:p>
    <w:p w14:paraId="734D8C1F" w14:textId="656BFA12" w:rsidR="00035CEC" w:rsidRDefault="00352E1B" w:rsidP="00510E1A">
      <w:r w:rsidRPr="00352E1B">
        <w:t>4</w:t>
      </w:r>
      <w:r w:rsidR="00035CEC" w:rsidRPr="00352E1B">
        <w:t xml:space="preserve">. </w:t>
      </w:r>
      <w:r w:rsidR="005C2307" w:rsidRPr="00352E1B">
        <w:t>Submissions on Interim Report due 11 November 2022</w:t>
      </w:r>
      <w:r w:rsidR="00035CEC" w:rsidRPr="00352E1B">
        <w:t xml:space="preserve"> – NZCCSS </w:t>
      </w:r>
      <w:r w:rsidR="00035CEC">
        <w:t>welcome</w:t>
      </w:r>
      <w:r w:rsidR="00CF193D">
        <w:t>s</w:t>
      </w:r>
      <w:r w:rsidR="00035CEC">
        <w:t xml:space="preserve"> your feedback on the report</w:t>
      </w:r>
      <w:r w:rsidR="00CF193D">
        <w:t xml:space="preserve"> for inclusion in our submission.</w:t>
      </w:r>
    </w:p>
    <w:p w14:paraId="43DFA61F" w14:textId="339CCBE3" w:rsidR="005C2307" w:rsidRDefault="005C2307" w:rsidP="00510E1A">
      <w:r>
        <w:t>The Commission will present its final advice to Government in March 2023</w:t>
      </w:r>
      <w:r w:rsidR="004378B3">
        <w:t>.</w:t>
      </w:r>
    </w:p>
    <w:sectPr w:rsidR="005C2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F953" w14:textId="77777777" w:rsidR="007A6C47" w:rsidRDefault="007A6C47" w:rsidP="00871542">
      <w:pPr>
        <w:spacing w:after="0" w:line="240" w:lineRule="auto"/>
      </w:pPr>
      <w:r>
        <w:separator/>
      </w:r>
    </w:p>
  </w:endnote>
  <w:endnote w:type="continuationSeparator" w:id="0">
    <w:p w14:paraId="58F0653F" w14:textId="77777777" w:rsidR="007A6C47" w:rsidRDefault="007A6C47" w:rsidP="0087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E94C" w14:textId="77777777" w:rsidR="007A6C47" w:rsidRDefault="007A6C47" w:rsidP="00871542">
      <w:pPr>
        <w:spacing w:after="0" w:line="240" w:lineRule="auto"/>
      </w:pPr>
      <w:r>
        <w:separator/>
      </w:r>
    </w:p>
  </w:footnote>
  <w:footnote w:type="continuationSeparator" w:id="0">
    <w:p w14:paraId="196C0006" w14:textId="77777777" w:rsidR="007A6C47" w:rsidRDefault="007A6C47" w:rsidP="00871542">
      <w:pPr>
        <w:spacing w:after="0" w:line="240" w:lineRule="auto"/>
      </w:pPr>
      <w:r>
        <w:continuationSeparator/>
      </w:r>
    </w:p>
  </w:footnote>
  <w:footnote w:id="1">
    <w:p w14:paraId="7BEBFE21" w14:textId="161B1A59" w:rsidR="00A530AC" w:rsidRPr="004F1CEB" w:rsidRDefault="00A530AC">
      <w:pPr>
        <w:pStyle w:val="FootnoteText"/>
        <w:rPr>
          <w:sz w:val="16"/>
          <w:szCs w:val="16"/>
          <w:lang w:val="mi-NZ"/>
        </w:rPr>
      </w:pPr>
      <w:r w:rsidRPr="004F1CEB">
        <w:rPr>
          <w:rStyle w:val="FootnoteReference"/>
          <w:sz w:val="16"/>
          <w:szCs w:val="16"/>
        </w:rPr>
        <w:footnoteRef/>
      </w:r>
      <w:r w:rsidRPr="004F1CEB">
        <w:rPr>
          <w:sz w:val="16"/>
          <w:szCs w:val="16"/>
        </w:rPr>
        <w:t xml:space="preserve"> </w:t>
      </w:r>
      <w:hyperlink r:id="rId1" w:history="1">
        <w:r w:rsidRPr="004F1CEB">
          <w:rPr>
            <w:rStyle w:val="Hyperlink"/>
            <w:sz w:val="16"/>
            <w:szCs w:val="16"/>
          </w:rPr>
          <w:t>A fair chance for all Interim Report – Overview</w:t>
        </w:r>
      </w:hyperlink>
      <w:r w:rsidRPr="004F1CEB">
        <w:rPr>
          <w:sz w:val="16"/>
          <w:szCs w:val="16"/>
        </w:rPr>
        <w:t xml:space="preserve">, pg.3 </w:t>
      </w:r>
    </w:p>
  </w:footnote>
  <w:footnote w:id="2">
    <w:p w14:paraId="2C4860B7" w14:textId="78BD7416" w:rsidR="00121960" w:rsidRPr="00121960" w:rsidRDefault="00121960">
      <w:pPr>
        <w:pStyle w:val="FootnoteText"/>
        <w:rPr>
          <w:lang w:val="mi-NZ"/>
        </w:rPr>
      </w:pPr>
      <w:r>
        <w:rPr>
          <w:rStyle w:val="FootnoteReference"/>
        </w:rPr>
        <w:footnoteRef/>
      </w:r>
      <w:r>
        <w:t xml:space="preserve"> </w:t>
      </w:r>
      <w:r w:rsidR="00CF771E" w:rsidRPr="00CF771E">
        <w:rPr>
          <w:sz w:val="16"/>
          <w:szCs w:val="16"/>
        </w:rPr>
        <w:t xml:space="preserve">Note: The Report measures people aged </w:t>
      </w:r>
      <w:r w:rsidR="003D700A">
        <w:rPr>
          <w:sz w:val="16"/>
          <w:szCs w:val="16"/>
        </w:rPr>
        <w:t>5-64</w:t>
      </w:r>
      <w:r w:rsidR="00F84CFF">
        <w:rPr>
          <w:sz w:val="16"/>
          <w:szCs w:val="16"/>
        </w:rPr>
        <w:t xml:space="preserve"> years so does not capture disadvantage in later life</w:t>
      </w:r>
      <w:r w:rsidR="008239A6">
        <w:rPr>
          <w:sz w:val="16"/>
          <w:szCs w:val="16"/>
        </w:rPr>
        <w:t>. There is</w:t>
      </w:r>
      <w:r w:rsidR="00D73341">
        <w:rPr>
          <w:sz w:val="16"/>
          <w:szCs w:val="16"/>
        </w:rPr>
        <w:t xml:space="preserve"> some research into the impacts of disadvantage on children’s outcomes using the Growing Up in New Zealand </w:t>
      </w:r>
      <w:r w:rsidR="00E274FC">
        <w:rPr>
          <w:sz w:val="16"/>
          <w:szCs w:val="16"/>
        </w:rPr>
        <w:t xml:space="preserve">study </w:t>
      </w:r>
      <w:hyperlink r:id="rId2" w:history="1">
        <w:r w:rsidR="00E274FC" w:rsidRPr="000209A7">
          <w:rPr>
            <w:rStyle w:val="Hyperlink"/>
            <w:sz w:val="16"/>
            <w:szCs w:val="16"/>
          </w:rPr>
          <w:t>here</w:t>
        </w:r>
      </w:hyperlink>
      <w:r w:rsidR="00E274FC">
        <w:rPr>
          <w:sz w:val="16"/>
          <w:szCs w:val="16"/>
        </w:rPr>
        <w:t>.</w:t>
      </w:r>
    </w:p>
  </w:footnote>
  <w:footnote w:id="3">
    <w:p w14:paraId="5477DDCD" w14:textId="71428657" w:rsidR="00A44763" w:rsidRPr="00A44763" w:rsidRDefault="00A44763" w:rsidP="00A44763">
      <w:pPr>
        <w:spacing w:after="6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44763">
        <w:rPr>
          <w:sz w:val="16"/>
          <w:szCs w:val="16"/>
        </w:rPr>
        <w:t>Note: The Interim Report measures only ‘being income poor’ and ‘being left out’, but the final report aims to measure all three</w:t>
      </w:r>
      <w:r>
        <w:rPr>
          <w:sz w:val="16"/>
          <w:szCs w:val="16"/>
        </w:rPr>
        <w:t xml:space="preserve"> domains</w:t>
      </w:r>
      <w:r w:rsidRPr="00A44763">
        <w:rPr>
          <w:sz w:val="16"/>
          <w:szCs w:val="16"/>
        </w:rPr>
        <w:t>.</w:t>
      </w:r>
    </w:p>
  </w:footnote>
  <w:footnote w:id="4">
    <w:p w14:paraId="65E16B12" w14:textId="13D35BED" w:rsidR="00281648" w:rsidRPr="00281648" w:rsidRDefault="00281648">
      <w:pPr>
        <w:pStyle w:val="FootnoteText"/>
        <w:rPr>
          <w:lang w:val="mi-NZ"/>
        </w:rPr>
      </w:pPr>
      <w:r w:rsidRPr="004F1CEB">
        <w:rPr>
          <w:rStyle w:val="FootnoteReference"/>
          <w:sz w:val="16"/>
          <w:szCs w:val="16"/>
        </w:rPr>
        <w:footnoteRef/>
      </w:r>
      <w:r w:rsidRPr="004F1CEB">
        <w:rPr>
          <w:sz w:val="16"/>
          <w:szCs w:val="16"/>
        </w:rPr>
        <w:t xml:space="preserve"> </w:t>
      </w:r>
      <w:r w:rsidR="004F1CEB" w:rsidRPr="004F1CEB">
        <w:rPr>
          <w:sz w:val="16"/>
          <w:szCs w:val="16"/>
          <w:lang w:val="mi-NZ"/>
        </w:rPr>
        <w:t>As above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6B45"/>
    <w:multiLevelType w:val="multilevel"/>
    <w:tmpl w:val="2330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254213"/>
    <w:multiLevelType w:val="multilevel"/>
    <w:tmpl w:val="3F3E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C784E"/>
    <w:multiLevelType w:val="hybridMultilevel"/>
    <w:tmpl w:val="315861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145833">
    <w:abstractNumId w:val="2"/>
  </w:num>
  <w:num w:numId="2" w16cid:durableId="815726693">
    <w:abstractNumId w:val="1"/>
  </w:num>
  <w:num w:numId="3" w16cid:durableId="205804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1A"/>
    <w:rsid w:val="000209A7"/>
    <w:rsid w:val="00035CEC"/>
    <w:rsid w:val="0009412F"/>
    <w:rsid w:val="000B2C68"/>
    <w:rsid w:val="00121960"/>
    <w:rsid w:val="00180801"/>
    <w:rsid w:val="001E0009"/>
    <w:rsid w:val="00281648"/>
    <w:rsid w:val="00282811"/>
    <w:rsid w:val="002A626A"/>
    <w:rsid w:val="00352E1B"/>
    <w:rsid w:val="003577C7"/>
    <w:rsid w:val="003D49FF"/>
    <w:rsid w:val="003D700A"/>
    <w:rsid w:val="00424F9F"/>
    <w:rsid w:val="004378B3"/>
    <w:rsid w:val="004F1CEB"/>
    <w:rsid w:val="00510E1A"/>
    <w:rsid w:val="00564982"/>
    <w:rsid w:val="005A7DE8"/>
    <w:rsid w:val="005C2307"/>
    <w:rsid w:val="00600D86"/>
    <w:rsid w:val="00621937"/>
    <w:rsid w:val="00644B05"/>
    <w:rsid w:val="00730E42"/>
    <w:rsid w:val="007318D9"/>
    <w:rsid w:val="00760015"/>
    <w:rsid w:val="00766EBB"/>
    <w:rsid w:val="007737D5"/>
    <w:rsid w:val="007A58C7"/>
    <w:rsid w:val="007A6C47"/>
    <w:rsid w:val="007B0723"/>
    <w:rsid w:val="008239A6"/>
    <w:rsid w:val="00871542"/>
    <w:rsid w:val="00A02B00"/>
    <w:rsid w:val="00A44763"/>
    <w:rsid w:val="00A45A82"/>
    <w:rsid w:val="00A530AC"/>
    <w:rsid w:val="00A82118"/>
    <w:rsid w:val="00A9656A"/>
    <w:rsid w:val="00AD1D6E"/>
    <w:rsid w:val="00AE5A1F"/>
    <w:rsid w:val="00B038BE"/>
    <w:rsid w:val="00B16A82"/>
    <w:rsid w:val="00B36916"/>
    <w:rsid w:val="00B86BA0"/>
    <w:rsid w:val="00CA608D"/>
    <w:rsid w:val="00CF193D"/>
    <w:rsid w:val="00CF771E"/>
    <w:rsid w:val="00D1107B"/>
    <w:rsid w:val="00D35B3B"/>
    <w:rsid w:val="00D70F97"/>
    <w:rsid w:val="00D73341"/>
    <w:rsid w:val="00D81F12"/>
    <w:rsid w:val="00D87D0C"/>
    <w:rsid w:val="00DA23E9"/>
    <w:rsid w:val="00DC2AE0"/>
    <w:rsid w:val="00E274FC"/>
    <w:rsid w:val="00E62DC2"/>
    <w:rsid w:val="00F00321"/>
    <w:rsid w:val="00F35DDB"/>
    <w:rsid w:val="00F84CFF"/>
    <w:rsid w:val="124280E1"/>
    <w:rsid w:val="2DF956CE"/>
    <w:rsid w:val="344F6FF5"/>
    <w:rsid w:val="365DF1BC"/>
    <w:rsid w:val="5C22E9A1"/>
    <w:rsid w:val="6574636F"/>
    <w:rsid w:val="799CC291"/>
    <w:rsid w:val="7AE53B2F"/>
    <w:rsid w:val="7CD4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1AD76"/>
  <w15:chartTrackingRefBased/>
  <w15:docId w15:val="{0C2D3358-5F82-424F-81C5-C21C5506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0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E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5A8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0015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customStyle="1" w:styleId="eds-text-hs--fixed">
    <w:name w:val="eds-text-hs--fixed"/>
    <w:basedOn w:val="Normal"/>
    <w:rsid w:val="0076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7600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87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42"/>
  </w:style>
  <w:style w:type="paragraph" w:styleId="Footer">
    <w:name w:val="footer"/>
    <w:basedOn w:val="Normal"/>
    <w:link w:val="FooterChar"/>
    <w:uiPriority w:val="99"/>
    <w:unhideWhenUsed/>
    <w:rsid w:val="0087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42"/>
  </w:style>
  <w:style w:type="paragraph" w:styleId="FootnoteText">
    <w:name w:val="footnote text"/>
    <w:basedOn w:val="Normal"/>
    <w:link w:val="FootnoteTextChar"/>
    <w:uiPriority w:val="99"/>
    <w:semiHidden/>
    <w:unhideWhenUsed/>
    <w:rsid w:val="007737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7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7D5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530A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4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68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2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zccss.org.nz/wp-content/uploads/NZCCSS-Submission-to-Productivity-Commission-Breaking-the-Disadvantage-Cycle-fi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ductivity.govt.nz/assets/InquiryDocs/EISM-Interim/Productivity-Commission-A-fair-chance-for-all-Interim-Report.pdf" TargetMode="External"/><Relationship Id="rId17" Type="http://schemas.openxmlformats.org/officeDocument/2006/relationships/hyperlink" Target="https://www.productivity.govt.nz/inquiries/a-fair-chance-for-al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JEq6nU91zv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nccss-my.sharepoint.com/personal/rosemary_nzccss_org_nz/Documents/RosemaryTaylor/Downloads/Growing%20up%20in%20New%20Zealand%20&#8211;%20Family%20resources%20and%20how%20they%20influence%20children&#8217;s%20development%20in%20Aotearoa%20New%20Zealan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roductivity.govt.nz/assets/Family-resources-across-the-early-life-course-and-childrens-development-in-NZ.pdf" TargetMode="External"/><Relationship Id="rId1" Type="http://schemas.openxmlformats.org/officeDocument/2006/relationships/hyperlink" Target="https://www.productivity.govt.nz/assets/InquiryDocs/EISM-Interim/A_fair_chance_for_all_Interim_report_OVERVIEW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7aea6a-1604-4e7f-b1f5-6081c92a5f5c" xsi:nil="true"/>
    <lcf76f155ced4ddcb4097134ff3c332f xmlns="f7481c80-4865-4f92-9d99-fb009c32e22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3F8D67591A54CA6938C4D5E3A3042" ma:contentTypeVersion="16" ma:contentTypeDescription="Create a new document." ma:contentTypeScope="" ma:versionID="cc615b6cfffb3664bb0e1493d22069f4">
  <xsd:schema xmlns:xsd="http://www.w3.org/2001/XMLSchema" xmlns:xs="http://www.w3.org/2001/XMLSchema" xmlns:p="http://schemas.microsoft.com/office/2006/metadata/properties" xmlns:ns2="f7481c80-4865-4f92-9d99-fb009c32e227" xmlns:ns3="e17aea6a-1604-4e7f-b1f5-6081c92a5f5c" targetNamespace="http://schemas.microsoft.com/office/2006/metadata/properties" ma:root="true" ma:fieldsID="05dd671284abe25c3f1683bc55cf65a1" ns2:_="" ns3:_="">
    <xsd:import namespace="f7481c80-4865-4f92-9d99-fb009c32e227"/>
    <xsd:import namespace="e17aea6a-1604-4e7f-b1f5-6081c92a5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81c80-4865-4f92-9d99-fb009c32e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6cf8bd-3782-4470-8039-170e05c51d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aea6a-1604-4e7f-b1f5-6081c92a5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bc9e0e-6798-4dc8-921b-4e467bbe22b6}" ma:internalName="TaxCatchAll" ma:showField="CatchAllData" ma:web="e17aea6a-1604-4e7f-b1f5-6081c92a5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50FC8-6119-4D55-82EC-BC3CACEF6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25697-7A40-4F33-9E66-BCD2AAD8B5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2F6AA0-BD64-4B17-87D1-05D4D686C26E}">
  <ds:schemaRefs>
    <ds:schemaRef ds:uri="http://schemas.microsoft.com/office/2006/metadata/properties"/>
    <ds:schemaRef ds:uri="http://schemas.microsoft.com/office/infopath/2007/PartnerControls"/>
    <ds:schemaRef ds:uri="e17aea6a-1604-4e7f-b1f5-6081c92a5f5c"/>
    <ds:schemaRef ds:uri="f7481c80-4865-4f92-9d99-fb009c32e227"/>
  </ds:schemaRefs>
</ds:datastoreItem>
</file>

<file path=customXml/itemProps4.xml><?xml version="1.0" encoding="utf-8"?>
<ds:datastoreItem xmlns:ds="http://schemas.openxmlformats.org/officeDocument/2006/customXml" ds:itemID="{DE939027-3929-4B08-90FB-1490C64E2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81c80-4865-4f92-9d99-fb009c32e227"/>
    <ds:schemaRef ds:uri="e17aea6a-1604-4e7f-b1f5-6081c92a5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Wilson</dc:creator>
  <cp:keywords/>
  <dc:description/>
  <cp:lastModifiedBy>Rosemary Taylor</cp:lastModifiedBy>
  <cp:revision>3</cp:revision>
  <cp:lastPrinted>2022-10-26T19:35:00Z</cp:lastPrinted>
  <dcterms:created xsi:type="dcterms:W3CDTF">2022-10-26T19:35:00Z</dcterms:created>
  <dcterms:modified xsi:type="dcterms:W3CDTF">2022-10-26T19:35:00Z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0x010100AD83F8D67591A54CA6938C4D5E3A3042</vt:lpwstr>
  </property>
  <property fmtid="{D5CDD505-2E9C-101B-9397-08002B2CF9AE}" pid="3" name="MediaServiceImageTags">
    <vt:lpwstr/>
  </property>
</Properties>
</file>